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GF—2000—0901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line="577" w:lineRule="exact" w:before="0"/>
        <w:ind w:left="3795" w:right="3795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仓储合同</w:t>
      </w:r>
    </w:p>
    <w:p>
      <w:pPr>
        <w:spacing w:before="152"/>
        <w:ind w:left="3795" w:right="3795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rPr>
          <w:rFonts w:ascii="方正楷体_GBK"/>
          <w:sz w:val="30"/>
        </w:rPr>
      </w:pPr>
    </w:p>
    <w:p>
      <w:pPr>
        <w:pStyle w:val="BodyText"/>
        <w:tabs>
          <w:tab w:pos="9062" w:val="left" w:leader="none"/>
        </w:tabs>
        <w:ind w:left="5157"/>
      </w:pPr>
      <w:r>
        <w:rPr>
          <w:color w:val="231F20"/>
        </w:rPr>
        <w:t>合同编号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3362" w:val="left" w:leader="none"/>
          <w:tab w:pos="5157" w:val="left" w:leader="none"/>
          <w:tab w:pos="9062" w:val="left" w:leader="none"/>
        </w:tabs>
        <w:spacing w:before="89"/>
        <w:ind w:left="557"/>
      </w:pPr>
      <w:r>
        <w:rPr>
          <w:color w:val="231F20"/>
        </w:rPr>
        <w:t>保管人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3362" w:val="left" w:leader="none"/>
          <w:tab w:pos="5157" w:val="left" w:leader="none"/>
          <w:tab w:pos="7302" w:val="left" w:leader="none"/>
          <w:tab w:pos="7962" w:val="left" w:leader="none"/>
          <w:tab w:pos="8622" w:val="left" w:leader="none"/>
        </w:tabs>
        <w:spacing w:before="89"/>
        <w:ind w:left="557"/>
      </w:pPr>
      <w:r>
        <w:rPr>
          <w:color w:val="231F20"/>
        </w:rPr>
        <w:t>存货人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签订时间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tabs>
          <w:tab w:pos="1437" w:val="left" w:leader="none"/>
        </w:tabs>
        <w:spacing w:before="1"/>
        <w:ind w:left="557"/>
      </w:pPr>
      <w:r>
        <w:rPr>
          <w:rFonts w:ascii="方正黑体_GBK" w:eastAsia="方正黑体_GBK" w:hint="eastAsia"/>
          <w:color w:val="231F20"/>
        </w:rPr>
        <w:t>第一条</w:t>
        <w:tab/>
      </w:r>
      <w:r>
        <w:rPr>
          <w:color w:val="231F20"/>
        </w:rPr>
        <w:t>仓储物</w:t>
      </w:r>
    </w:p>
    <w:p>
      <w:pPr>
        <w:pStyle w:val="BodyText"/>
        <w:spacing w:before="14"/>
        <w:rPr>
          <w:sz w:val="12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>
        <w:trPr>
          <w:trHeight w:val="340" w:hRule="atLeast"/>
        </w:trPr>
        <w:tc>
          <w:tcPr>
            <w:tcW w:w="1132" w:type="dxa"/>
          </w:tcPr>
          <w:p>
            <w:pPr>
              <w:pStyle w:val="TableParagraph"/>
              <w:spacing w:before="18"/>
              <w:ind w:left="362" w:right="3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品名</w:t>
            </w:r>
          </w:p>
        </w:tc>
        <w:tc>
          <w:tcPr>
            <w:tcW w:w="1132" w:type="dxa"/>
          </w:tcPr>
          <w:p>
            <w:pPr>
              <w:pStyle w:val="TableParagraph"/>
              <w:spacing w:before="18"/>
              <w:ind w:left="205"/>
              <w:rPr>
                <w:sz w:val="18"/>
              </w:rPr>
            </w:pPr>
            <w:r>
              <w:rPr>
                <w:color w:val="231F20"/>
                <w:sz w:val="18"/>
              </w:rPr>
              <w:t>品种规格</w:t>
            </w:r>
          </w:p>
        </w:tc>
        <w:tc>
          <w:tcPr>
            <w:tcW w:w="1132" w:type="dxa"/>
          </w:tcPr>
          <w:p>
            <w:pPr>
              <w:pStyle w:val="TableParagraph"/>
              <w:spacing w:before="18"/>
              <w:ind w:left="364" w:right="3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性质</w:t>
            </w:r>
          </w:p>
        </w:tc>
        <w:tc>
          <w:tcPr>
            <w:tcW w:w="1132" w:type="dxa"/>
          </w:tcPr>
          <w:p>
            <w:pPr>
              <w:pStyle w:val="TableParagraph"/>
              <w:spacing w:before="18"/>
              <w:ind w:left="365" w:right="3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1132" w:type="dxa"/>
          </w:tcPr>
          <w:p>
            <w:pPr>
              <w:pStyle w:val="TableParagraph"/>
              <w:spacing w:before="18"/>
              <w:ind w:left="365" w:right="3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质量</w:t>
            </w:r>
          </w:p>
        </w:tc>
        <w:tc>
          <w:tcPr>
            <w:tcW w:w="1132" w:type="dxa"/>
          </w:tcPr>
          <w:p>
            <w:pPr>
              <w:pStyle w:val="TableParagraph"/>
              <w:spacing w:before="18"/>
              <w:ind w:left="365" w:right="3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包装</w:t>
            </w:r>
          </w:p>
        </w:tc>
        <w:tc>
          <w:tcPr>
            <w:tcW w:w="1132" w:type="dxa"/>
          </w:tcPr>
          <w:p>
            <w:pPr>
              <w:pStyle w:val="TableParagraph"/>
              <w:spacing w:before="18"/>
              <w:ind w:left="388"/>
              <w:rPr>
                <w:sz w:val="18"/>
              </w:rPr>
            </w:pPr>
            <w:r>
              <w:rPr>
                <w:color w:val="231F20"/>
                <w:sz w:val="18"/>
              </w:rPr>
              <w:t>件数</w:t>
            </w:r>
          </w:p>
        </w:tc>
        <w:tc>
          <w:tcPr>
            <w:tcW w:w="1132" w:type="dxa"/>
          </w:tcPr>
          <w:p>
            <w:pPr>
              <w:pStyle w:val="TableParagraph"/>
              <w:spacing w:before="18"/>
              <w:ind w:left="388"/>
              <w:rPr>
                <w:sz w:val="18"/>
              </w:rPr>
            </w:pPr>
            <w:r>
              <w:rPr>
                <w:color w:val="231F20"/>
                <w:sz w:val="18"/>
              </w:rPr>
              <w:t>标记</w:t>
            </w:r>
          </w:p>
        </w:tc>
      </w:tr>
      <w:tr>
        <w:trPr>
          <w:trHeight w:val="340" w:hRule="atLeast"/>
        </w:trPr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16"/>
        <w:ind w:left="0" w:right="115" w:firstLine="0"/>
        <w:jc w:val="right"/>
        <w:rPr>
          <w:rFonts w:ascii="方正楷体_GBK" w:eastAsia="方正楷体_GBK" w:hint="eastAsia"/>
          <w:sz w:val="16"/>
        </w:rPr>
      </w:pPr>
      <w:r>
        <w:rPr>
          <w:rFonts w:ascii="方正楷体_GBK" w:eastAsia="方正楷体_GBK" w:hint="eastAsia"/>
          <w:color w:val="231F20"/>
          <w:sz w:val="16"/>
        </w:rPr>
        <w:t>( 注：空格如不够用，可以另接 )</w:t>
      </w:r>
    </w:p>
    <w:p>
      <w:pPr>
        <w:pStyle w:val="BodyText"/>
        <w:tabs>
          <w:tab w:pos="1437" w:val="left" w:leader="none"/>
          <w:tab w:pos="9188" w:val="left" w:leader="none"/>
        </w:tabs>
        <w:spacing w:before="132"/>
        <w:ind w:left="557"/>
      </w:pPr>
      <w:r>
        <w:rPr/>
        <w:pict>
          <v:line style="position:absolute;mso-position-horizontal-relative:page;mso-position-vertical-relative:paragraph;z-index:-6760" from="70.866096pt,65.136368pt" to="524.409096pt,65.136368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736" from="70.866096pt,107.136368pt" to="524.409096pt,107.136368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第二条</w:t>
        <w:tab/>
      </w:r>
      <w:r>
        <w:rPr>
          <w:color w:val="231F20"/>
        </w:rPr>
        <w:t>储存场所、储存物占用仓库位置及面积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866096pt,20.690832pt" to="524.409096pt,20.690832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line="840" w:lineRule="atLeast"/>
        <w:ind w:left="557" w:right="115"/>
        <w:jc w:val="both"/>
      </w:pPr>
      <w:r>
        <w:rPr>
          <w:rFonts w:ascii="方正黑体_GBK" w:eastAsia="方正黑体_GBK" w:hint="eastAsia"/>
          <w:color w:val="231F20"/>
        </w:rPr>
        <w:t>第三条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仓储物（是 / 否）有瑕疵。瑕疵是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仓储物（是 / 否）需要采取特殊保管措施。特殊保管措施是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第五条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仓储物入库检验的方法、时间与地点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第六条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存货人交付仓储物后，保管人应当给付仓单。</w:t>
      </w:r>
    </w:p>
    <w:p>
      <w:pPr>
        <w:pStyle w:val="BodyText"/>
        <w:tabs>
          <w:tab w:pos="1437" w:val="left" w:leader="none"/>
          <w:tab w:pos="3582" w:val="left" w:leader="none"/>
          <w:tab w:pos="4242" w:val="left" w:leader="none"/>
          <w:tab w:pos="4902" w:val="left" w:leader="none"/>
          <w:tab w:pos="6222" w:val="left" w:leader="none"/>
          <w:tab w:pos="6882" w:val="left" w:leader="none"/>
          <w:tab w:pos="7542" w:val="left" w:leader="none"/>
        </w:tabs>
        <w:spacing w:before="83"/>
        <w:ind w:left="557"/>
      </w:pPr>
      <w:r>
        <w:rPr/>
        <w:pict>
          <v:line style="position:absolute;mso-position-horizontal-relative:page;mso-position-vertical-relative:paragraph;z-index:-6712" from="70.866096pt,-63.313633pt" to="524.409096pt,-63.313633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6688" from="70.866096pt,-21.313635pt" to="524.409096pt,-21.313635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第七条</w:t>
        <w:tab/>
      </w:r>
      <w:r>
        <w:rPr>
          <w:color w:val="231F20"/>
        </w:rPr>
        <w:t>储存期限</w:t>
      </w:r>
      <w:r>
        <w:rPr>
          <w:color w:val="231F20"/>
          <w:spacing w:val="-55"/>
        </w:rPr>
        <w:t>：</w:t>
      </w:r>
      <w:r>
        <w:rPr>
          <w:color w:val="231F20"/>
        </w:rPr>
        <w:t>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日至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月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日。</w:t>
      </w:r>
    </w:p>
    <w:p>
      <w:pPr>
        <w:pStyle w:val="BodyText"/>
        <w:tabs>
          <w:tab w:pos="1437" w:val="left" w:leader="none"/>
          <w:tab w:pos="9188" w:val="left" w:leader="none"/>
        </w:tabs>
        <w:spacing w:before="83"/>
        <w:ind w:left="557"/>
      </w:pPr>
      <w:r>
        <w:rPr>
          <w:rFonts w:ascii="方正黑体_GBK" w:eastAsia="方正黑体_GBK" w:hint="eastAsia"/>
          <w:color w:val="231F20"/>
        </w:rPr>
        <w:t>第八条</w:t>
        <w:tab/>
      </w:r>
      <w:r>
        <w:rPr>
          <w:color w:val="231F20"/>
        </w:rPr>
        <w:t>仓储物的损耗标准及计算方法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70.866096pt,20.697987pt" to="524.409096pt,20.69798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437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第九条</w:t>
        <w:tab/>
      </w:r>
      <w:r>
        <w:rPr>
          <w:color w:val="231F20"/>
        </w:rPr>
        <w:t>保管人发现仓储物有变质或损坏的，应及时通知存货人或仓单持有人。</w:t>
      </w:r>
    </w:p>
    <w:p>
      <w:pPr>
        <w:pStyle w:val="BodyText"/>
        <w:tabs>
          <w:tab w:pos="1457" w:val="left" w:leader="none"/>
          <w:tab w:pos="1602" w:val="left" w:leader="none"/>
          <w:tab w:pos="5727" w:val="left" w:leader="none"/>
          <w:tab w:pos="6561" w:val="left" w:leader="none"/>
          <w:tab w:pos="8514" w:val="left" w:leader="none"/>
        </w:tabs>
        <w:spacing w:line="304" w:lineRule="auto" w:before="82"/>
        <w:ind w:left="117" w:right="115" w:firstLine="440"/>
      </w:pPr>
      <w:r>
        <w:rPr>
          <w:rFonts w:ascii="方正黑体_GBK" w:eastAsia="方正黑体_GBK" w:hint="eastAsia"/>
          <w:color w:val="231F20"/>
          <w:spacing w:val="5"/>
        </w:rPr>
        <w:t>第十</w:t>
      </w:r>
      <w:r>
        <w:rPr>
          <w:rFonts w:ascii="方正黑体_GBK" w:eastAsia="方正黑体_GBK" w:hint="eastAsia"/>
          <w:color w:val="231F20"/>
        </w:rPr>
        <w:t>条</w:t>
        <w:tab/>
      </w:r>
      <w:r>
        <w:rPr>
          <w:color w:val="231F20"/>
          <w:spacing w:val="5"/>
        </w:rPr>
        <w:t>仓储</w:t>
      </w:r>
      <w:r>
        <w:rPr>
          <w:color w:val="231F20"/>
        </w:rPr>
        <w:t>物</w:t>
      </w:r>
      <w:r>
        <w:rPr>
          <w:color w:val="231F20"/>
          <w:spacing w:val="5"/>
        </w:rPr>
        <w:t>（</w:t>
      </w:r>
      <w:r>
        <w:rPr>
          <w:color w:val="231F20"/>
        </w:rPr>
        <w:t>是</w:t>
      </w:r>
      <w:r>
        <w:rPr>
          <w:color w:val="231F20"/>
          <w:spacing w:val="5"/>
        </w:rPr>
        <w:t> </w:t>
      </w:r>
      <w:r>
        <w:rPr>
          <w:color w:val="231F20"/>
        </w:rPr>
        <w:t>/</w:t>
      </w:r>
      <w:r>
        <w:rPr>
          <w:color w:val="231F20"/>
          <w:spacing w:val="5"/>
        </w:rPr>
        <w:t> </w:t>
      </w:r>
      <w:r>
        <w:rPr>
          <w:color w:val="231F20"/>
          <w:spacing w:val="5"/>
        </w:rPr>
        <w:t>否）已办理保</w:t>
      </w:r>
      <w:r>
        <w:rPr>
          <w:color w:val="231F20"/>
        </w:rPr>
        <w:t>险</w:t>
      </w:r>
      <w:r>
        <w:rPr>
          <w:color w:val="231F20"/>
          <w:spacing w:val="5"/>
        </w:rPr>
        <w:t>，险种名</w:t>
      </w:r>
      <w:r>
        <w:rPr>
          <w:color w:val="231F20"/>
        </w:rPr>
        <w:t>称：</w:t>
        <w:tab/>
        <w:tab/>
      </w:r>
      <w:r>
        <w:rPr>
          <w:color w:val="231F20"/>
          <w:spacing w:val="-49"/>
        </w:rPr>
        <w:t>；</w:t>
      </w:r>
      <w:r>
        <w:rPr>
          <w:color w:val="231F20"/>
          <w:spacing w:val="5"/>
        </w:rPr>
        <w:t>保险金</w:t>
      </w:r>
      <w:r>
        <w:rPr>
          <w:color w:val="231F20"/>
        </w:rPr>
        <w:t>额</w:t>
      </w:r>
      <w:r>
        <w:rPr>
          <w:color w:val="231F20"/>
          <w:u w:val="single" w:color="231F20"/>
        </w:rPr>
        <w:tab/>
      </w:r>
      <w:r>
        <w:rPr>
          <w:color w:val="231F20"/>
          <w:spacing w:val="-49"/>
        </w:rPr>
        <w:t>；</w:t>
      </w:r>
      <w:r>
        <w:rPr>
          <w:color w:val="231F20"/>
          <w:spacing w:val="5"/>
        </w:rPr>
        <w:t>保</w:t>
      </w:r>
      <w:r>
        <w:rPr>
          <w:color w:val="231F20"/>
        </w:rPr>
        <w:t>险期限</w:t>
      </w:r>
      <w:r>
        <w:rPr>
          <w:color w:val="231F20"/>
          <w:u w:val="single" w:color="231F20"/>
        </w:rPr>
        <w:t>：</w:t>
        <w:tab/>
        <w:tab/>
      </w:r>
      <w:r>
        <w:rPr>
          <w:color w:val="231F20"/>
          <w:spacing w:val="-55"/>
        </w:rPr>
        <w:t>；</w:t>
      </w:r>
      <w:r>
        <w:rPr>
          <w:color w:val="231F20"/>
        </w:rPr>
        <w:t>保险人名称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>。</w:t>
      </w:r>
    </w:p>
    <w:p>
      <w:pPr>
        <w:pStyle w:val="BodyText"/>
        <w:spacing w:before="5"/>
        <w:rPr>
          <w:sz w:val="28"/>
        </w:rPr>
      </w:pPr>
    </w:p>
    <w:p>
      <w:pPr>
        <w:spacing w:before="92"/>
        <w:ind w:left="0" w:right="1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tabs>
          <w:tab w:pos="1657" w:val="left" w:leader="none"/>
          <w:tab w:pos="9188" w:val="left" w:leader="none"/>
        </w:tabs>
        <w:spacing w:before="18"/>
        <w:ind w:left="557"/>
      </w:pPr>
      <w:r>
        <w:rPr>
          <w:rFonts w:ascii="方正黑体_GBK" w:eastAsia="方正黑体_GBK" w:hint="eastAsia"/>
          <w:color w:val="231F20"/>
        </w:rPr>
        <w:t>第十一条</w:t>
        <w:tab/>
      </w:r>
      <w:r>
        <w:rPr>
          <w:color w:val="231F20"/>
        </w:rPr>
        <w:t>仓储物出库检验的方法与时间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168;mso-wrap-distance-left:0;mso-wrap-distance-right:0" from="70.866096pt,20.696898pt" to="524.409096pt,20.696898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57" w:val="left" w:leader="none"/>
          <w:tab w:pos="6117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第十二条</w:t>
        <w:tab/>
      </w:r>
      <w:r>
        <w:rPr>
          <w:color w:val="231F20"/>
        </w:rPr>
        <w:t>仓储费 ( 大写</w:t>
      </w:r>
      <w:r>
        <w:rPr>
          <w:color w:val="231F20"/>
          <w:spacing w:val="-28"/>
        </w:rPr>
        <w:t>）：</w:t>
        <w:tab/>
      </w:r>
      <w:r>
        <w:rPr>
          <w:color w:val="231F20"/>
        </w:rPr>
        <w:t>元。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第十三条</w:t>
        <w:tab/>
      </w:r>
      <w:r>
        <w:rPr>
          <w:color w:val="231F20"/>
        </w:rPr>
        <w:t>仓储费结算方式与时间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192;mso-wrap-distance-left:0;mso-wrap-distance-right:0" from="70.866096pt,20.658501pt" to="524.409096pt,20.65850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57" w:val="left" w:leader="none"/>
        </w:tabs>
        <w:spacing w:before="57"/>
        <w:ind w:left="557"/>
      </w:pPr>
      <w:r>
        <w:rPr>
          <w:rFonts w:ascii="方正黑体_GBK" w:eastAsia="方正黑体_GBK" w:hint="eastAsia"/>
          <w:color w:val="231F20"/>
        </w:rPr>
        <w:t>第十四条</w:t>
        <w:tab/>
      </w:r>
      <w:r>
        <w:rPr>
          <w:color w:val="231F20"/>
        </w:rPr>
        <w:t>存货人未向保管人支付仓储费的，保管人（是 / 否）可以留置仓储物。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第十五条</w:t>
        <w:tab/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216;mso-wrap-distance-left:0;mso-wrap-distance-right:0" from="70.866096pt,20.658501pt" to="524.409096pt,20.658501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40;mso-wrap-distance-left:0;mso-wrap-distance-right:0" from="70.866096pt,41.658501pt" to="524.409096pt,41.65850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1669" w:val="left" w:leader="none"/>
          <w:tab w:pos="7487" w:val="left" w:leader="none"/>
        </w:tabs>
        <w:spacing w:line="304" w:lineRule="auto" w:before="57"/>
        <w:ind w:left="117" w:right="115" w:firstLine="440"/>
      </w:pPr>
      <w:r>
        <w:rPr>
          <w:rFonts w:ascii="方正黑体_GBK" w:eastAsia="方正黑体_GBK" w:hint="eastAsia"/>
          <w:color w:val="231F20"/>
        </w:rPr>
        <w:t>第十六条</w:t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也可由当地工商行政管理部门调解</w:t>
      </w:r>
      <w:r>
        <w:rPr>
          <w:color w:val="231F20"/>
          <w:spacing w:val="-55"/>
        </w:rPr>
        <w:t>：</w:t>
      </w:r>
      <w:r>
        <w:rPr>
          <w:color w:val="231F20"/>
        </w:rPr>
        <w:t>协商或调解不成的，按下列第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种方式解决：</w:t>
      </w:r>
    </w:p>
    <w:p>
      <w:pPr>
        <w:pStyle w:val="BodyText"/>
        <w:tabs>
          <w:tab w:pos="2376" w:val="left" w:leader="none"/>
        </w:tabs>
        <w:spacing w:before="20"/>
        <w:ind w:left="557"/>
      </w:pPr>
      <w:r>
        <w:rPr>
          <w:color w:val="231F20"/>
        </w:rPr>
        <w:t>( 一</w:t>
      </w:r>
      <w:r>
        <w:rPr>
          <w:color w:val="231F20"/>
          <w:spacing w:val="-56"/>
        </w:rPr>
        <w:t>）</w:t>
      </w:r>
      <w:r>
        <w:rPr>
          <w:color w:val="231F20"/>
        </w:rPr>
        <w:t>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仲载委员会仲裁；</w:t>
      </w:r>
    </w:p>
    <w:p>
      <w:pPr>
        <w:pStyle w:val="BodyText"/>
        <w:spacing w:before="88"/>
        <w:ind w:left="557"/>
      </w:pPr>
      <w:r>
        <w:rPr>
          <w:color w:val="231F20"/>
        </w:rPr>
        <w:t>( 二</w:t>
      </w:r>
      <w:r>
        <w:rPr>
          <w:color w:val="231F20"/>
          <w:spacing w:val="-56"/>
        </w:rPr>
        <w:t>）</w:t>
      </w:r>
      <w:r>
        <w:rPr>
          <w:color w:val="231F20"/>
        </w:rPr>
        <w:t>依法向人民法院起诉。</w:t>
      </w:r>
    </w:p>
    <w:p>
      <w:pPr>
        <w:pStyle w:val="BodyText"/>
        <w:tabs>
          <w:tab w:pos="1657" w:val="left" w:leader="none"/>
          <w:tab w:pos="9188" w:val="left" w:leader="none"/>
        </w:tabs>
        <w:spacing w:before="82"/>
        <w:ind w:left="557"/>
      </w:pPr>
      <w:r>
        <w:rPr>
          <w:rFonts w:ascii="方正黑体_GBK" w:eastAsia="方正黑体_GBK" w:hint="eastAsia"/>
          <w:color w:val="231F20"/>
        </w:rPr>
        <w:t>第十七条</w:t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264;mso-wrap-distance-left:0;mso-wrap-distance-right:0" from="70.866096pt,20.669359pt" to="524.409096pt,20.669359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288;mso-wrap-distance-left:0;mso-wrap-distance-right:0" from="70.866096pt,41.669361pt" to="524.409096pt,41.669361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312;mso-wrap-distance-left:0;mso-wrap-distance-right:0" from="70.866096pt,62.669361pt" to="524.409096pt,62.669361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3020"/>
        <w:gridCol w:w="3020"/>
      </w:tblGrid>
      <w:tr>
        <w:trPr>
          <w:trHeight w:val="2600" w:hRule="atLeast"/>
        </w:trPr>
        <w:tc>
          <w:tcPr>
            <w:tcW w:w="3020" w:type="dxa"/>
          </w:tcPr>
          <w:p>
            <w:pPr>
              <w:pStyle w:val="TableParagraph"/>
              <w:spacing w:line="284" w:lineRule="exact" w:before="103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存货人</w:t>
            </w:r>
          </w:p>
          <w:p>
            <w:pPr>
              <w:pStyle w:val="TableParagraph"/>
              <w:spacing w:line="230" w:lineRule="auto"/>
              <w:ind w:left="84" w:right="1646"/>
              <w:rPr>
                <w:sz w:val="18"/>
              </w:rPr>
            </w:pPr>
            <w:r>
              <w:rPr>
                <w:color w:val="231F20"/>
                <w:sz w:val="18"/>
              </w:rPr>
              <w:t>存货人（章）： 住所：</w:t>
            </w:r>
          </w:p>
          <w:p>
            <w:pPr>
              <w:pStyle w:val="TableParagraph"/>
              <w:spacing w:line="230" w:lineRule="auto" w:before="6"/>
              <w:ind w:left="84" w:right="184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 委托代理人： 电话：</w:t>
            </w:r>
          </w:p>
          <w:p>
            <w:pPr>
              <w:pStyle w:val="TableParagraph"/>
              <w:spacing w:line="230" w:lineRule="auto"/>
              <w:ind w:left="84" w:right="2006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0" w:type="dxa"/>
          </w:tcPr>
          <w:p>
            <w:pPr>
              <w:pStyle w:val="TableParagraph"/>
              <w:spacing w:line="284" w:lineRule="exact" w:before="103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保管人</w:t>
            </w:r>
          </w:p>
          <w:p>
            <w:pPr>
              <w:pStyle w:val="TableParagraph"/>
              <w:spacing w:line="230" w:lineRule="auto"/>
              <w:ind w:left="84" w:right="1646"/>
              <w:rPr>
                <w:sz w:val="18"/>
              </w:rPr>
            </w:pPr>
            <w:r>
              <w:rPr>
                <w:color w:val="231F20"/>
                <w:sz w:val="18"/>
              </w:rPr>
              <w:t>保管人（章）： 住所：</w:t>
            </w:r>
          </w:p>
          <w:p>
            <w:pPr>
              <w:pStyle w:val="TableParagraph"/>
              <w:spacing w:line="230" w:lineRule="auto" w:before="6"/>
              <w:ind w:left="84" w:right="184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 委托代理人： 电话：</w:t>
            </w:r>
          </w:p>
          <w:p>
            <w:pPr>
              <w:pStyle w:val="TableParagraph"/>
              <w:spacing w:line="230" w:lineRule="auto"/>
              <w:ind w:left="84" w:right="2006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0" w:type="dxa"/>
          </w:tcPr>
          <w:p>
            <w:pPr>
              <w:pStyle w:val="TableParagraph"/>
              <w:spacing w:before="103"/>
              <w:ind w:left="708"/>
              <w:rPr>
                <w:sz w:val="20"/>
              </w:rPr>
            </w:pPr>
            <w:r>
              <w:rPr>
                <w:color w:val="231F20"/>
                <w:sz w:val="20"/>
              </w:rPr>
              <w:t>鉴（公）证意见：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"/>
              <w:rPr>
                <w:sz w:val="18"/>
              </w:rPr>
            </w:pPr>
          </w:p>
          <w:p>
            <w:pPr>
              <w:pStyle w:val="TableParagraph"/>
              <w:spacing w:line="230" w:lineRule="auto"/>
              <w:ind w:left="83" w:right="1107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TableParagraph"/>
              <w:spacing w:line="260" w:lineRule="exact"/>
              <w:ind w:right="74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年    月    日</w:t>
            </w:r>
          </w:p>
        </w:tc>
      </w:tr>
    </w:tbl>
    <w:p>
      <w:pPr>
        <w:pStyle w:val="BodyText"/>
        <w:tabs>
          <w:tab w:pos="4682" w:val="left" w:leader="none"/>
        </w:tabs>
        <w:spacing w:before="34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2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2021-12-01T23:28:53Z</dcterms:created>
  <dcterms:modified xsi:type="dcterms:W3CDTF">2021-12-01T23:28:53Z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