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5"/>
          <w:w w:val="95"/>
          <w:sz w:val="28"/>
        </w:rPr>
        <w:t>GF—2008—0114</w:t>
      </w:r>
    </w:p>
    <w:p>
      <w:pPr>
        <w:pStyle w:val="BodyText"/>
        <w:spacing w:before="11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0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460693pt;margin-top:102.46048pt;width:11pt;height:47pt;mso-position-horizontal-relative:page;mso-position-vertical-relative:paragraph;z-index:-25912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  <w:ind w:left="20"/>
                  </w:pPr>
                  <w:r>
                    <w:rPr>
                      <w:color w:val="231F20"/>
                    </w:rPr>
                    <w:t>单价（元）</w:t>
                  </w:r>
                </w:p>
              </w:txbxContent>
            </v:textbox>
            <w10:wrap type="none"/>
          </v:shape>
        </w:pict>
      </w:r>
      <w:r>
        <w:rPr>
          <w:rFonts w:ascii="方正小标宋_GBK" w:eastAsia="方正小标宋_GBK" w:hint="eastAsia"/>
          <w:color w:val="231F20"/>
          <w:position w:val="1"/>
          <w:sz w:val="40"/>
        </w:rPr>
        <w:t>木材买卖合同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2066" w:space="2634"/>
            <w:col w:w="9260"/>
          </w:cols>
        </w:sectPr>
      </w:pPr>
    </w:p>
    <w:p>
      <w:pPr>
        <w:pStyle w:val="BodyText"/>
        <w:rPr>
          <w:rFonts w:ascii="方正楷体_GBK"/>
          <w:sz w:val="20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 w:after="1"/>
        <w:rPr>
          <w:rFonts w:ascii="方正楷体_GBK"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68"/>
        <w:gridCol w:w="805"/>
        <w:gridCol w:w="396"/>
        <w:gridCol w:w="637"/>
        <w:gridCol w:w="577"/>
        <w:gridCol w:w="384"/>
        <w:gridCol w:w="251"/>
        <w:gridCol w:w="251"/>
        <w:gridCol w:w="503"/>
        <w:gridCol w:w="335"/>
        <w:gridCol w:w="1366"/>
        <w:gridCol w:w="371"/>
        <w:gridCol w:w="371"/>
        <w:gridCol w:w="371"/>
        <w:gridCol w:w="313"/>
        <w:gridCol w:w="117"/>
        <w:gridCol w:w="391"/>
        <w:gridCol w:w="418"/>
        <w:gridCol w:w="361"/>
        <w:gridCol w:w="361"/>
        <w:gridCol w:w="1215"/>
        <w:gridCol w:w="379"/>
        <w:gridCol w:w="410"/>
        <w:gridCol w:w="405"/>
        <w:gridCol w:w="1239"/>
      </w:tblGrid>
      <w:tr>
        <w:trPr>
          <w:trHeight w:val="360" w:hRule="atLeast"/>
        </w:trPr>
        <w:tc>
          <w:tcPr>
            <w:tcW w:w="1188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306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0" w:type="dxa"/>
            <w:gridSpan w:val="11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方正楷体_GBK"/>
                <w:sz w:val="15"/>
              </w:rPr>
            </w:pPr>
          </w:p>
          <w:p>
            <w:pPr>
              <w:pStyle w:val="TableParagraph"/>
              <w:tabs>
                <w:tab w:pos="2924" w:val="left" w:leader="none"/>
              </w:tabs>
              <w:ind w:left="31"/>
              <w:rPr>
                <w:sz w:val="18"/>
              </w:rPr>
            </w:pPr>
            <w:r>
              <w:rPr>
                <w:color w:val="231F20"/>
                <w:sz w:val="18"/>
              </w:rPr>
              <w:t>签订地点：</w:t>
              <w:tab/>
              <w:t>计量单位：</w:t>
            </w:r>
          </w:p>
        </w:tc>
        <w:tc>
          <w:tcPr>
            <w:tcW w:w="779" w:type="dxa"/>
            <w:gridSpan w:val="2"/>
            <w:vMerge w:val="restart"/>
          </w:tcPr>
          <w:p>
            <w:pPr>
              <w:pStyle w:val="TableParagraph"/>
              <w:spacing w:before="1"/>
              <w:rPr>
                <w:rFonts w:ascii="方正楷体_GBK"/>
                <w:sz w:val="15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合同编号</w:t>
            </w:r>
          </w:p>
        </w:tc>
        <w:tc>
          <w:tcPr>
            <w:tcW w:w="4009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88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出卖人</w:t>
            </w:r>
          </w:p>
        </w:tc>
        <w:tc>
          <w:tcPr>
            <w:tcW w:w="306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0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2261" w:type="dxa"/>
            <w:gridSpan w:val="3"/>
            <w:vMerge w:val="restart"/>
          </w:tcPr>
          <w:p>
            <w:pPr>
              <w:pStyle w:val="TableParagraph"/>
              <w:spacing w:before="13"/>
              <w:rPr>
                <w:rFonts w:ascii="方正楷体_GBK"/>
                <w:sz w:val="23"/>
              </w:rPr>
            </w:pPr>
          </w:p>
          <w:p>
            <w:pPr>
              <w:pStyle w:val="TableParagraph"/>
              <w:ind w:left="750" w:right="7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收货单位</w:t>
            </w:r>
          </w:p>
        </w:tc>
        <w:tc>
          <w:tcPr>
            <w:tcW w:w="4700" w:type="dxa"/>
            <w:gridSpan w:val="9"/>
          </w:tcPr>
          <w:p>
            <w:pPr>
              <w:pStyle w:val="TableParagraph"/>
              <w:tabs>
                <w:tab w:pos="557" w:val="left" w:leader="none"/>
              </w:tabs>
              <w:spacing w:before="179"/>
              <w:ind w:left="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</w:t>
              <w:tab/>
              <w:t>站</w:t>
            </w:r>
          </w:p>
        </w:tc>
        <w:tc>
          <w:tcPr>
            <w:tcW w:w="371" w:type="dxa"/>
            <w:vMerge w:val="restart"/>
          </w:tcPr>
          <w:p>
            <w:pPr>
              <w:pStyle w:val="TableParagraph"/>
              <w:spacing w:before="2"/>
              <w:rPr>
                <w:rFonts w:ascii="方正楷体_GBK"/>
                <w:sz w:val="20"/>
              </w:rPr>
            </w:pPr>
          </w:p>
          <w:p>
            <w:pPr>
              <w:pStyle w:val="TableParagraph"/>
              <w:spacing w:line="192" w:lineRule="auto"/>
              <w:ind w:left="103" w:right="58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371" w:type="dxa"/>
            <w:vMerge w:val="restart"/>
          </w:tcPr>
          <w:p>
            <w:pPr>
              <w:pStyle w:val="TableParagraph"/>
              <w:spacing w:before="2"/>
              <w:rPr>
                <w:rFonts w:ascii="方正楷体_GBK"/>
                <w:sz w:val="20"/>
              </w:rPr>
            </w:pPr>
          </w:p>
          <w:p>
            <w:pPr>
              <w:pStyle w:val="TableParagraph"/>
              <w:spacing w:line="192" w:lineRule="auto"/>
              <w:ind w:left="103" w:right="58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371" w:type="dxa"/>
            <w:vMerge w:val="restart"/>
          </w:tcPr>
          <w:p>
            <w:pPr>
              <w:pStyle w:val="TableParagraph"/>
              <w:spacing w:line="192" w:lineRule="auto" w:before="178"/>
              <w:ind w:left="104"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树材种</w:t>
            </w:r>
          </w:p>
        </w:tc>
        <w:tc>
          <w:tcPr>
            <w:tcW w:w="430" w:type="dxa"/>
            <w:gridSpan w:val="2"/>
            <w:vMerge w:val="restart"/>
          </w:tcPr>
          <w:p>
            <w:pPr>
              <w:pStyle w:val="TableParagraph"/>
              <w:spacing w:before="2"/>
              <w:rPr>
                <w:rFonts w:ascii="方正楷体_GBK"/>
                <w:sz w:val="20"/>
              </w:rPr>
            </w:pPr>
          </w:p>
          <w:p>
            <w:pPr>
              <w:pStyle w:val="TableParagraph"/>
              <w:spacing w:line="192" w:lineRule="auto"/>
              <w:ind w:left="135" w:right="85"/>
              <w:rPr>
                <w:sz w:val="18"/>
              </w:rPr>
            </w:pPr>
            <w:r>
              <w:rPr>
                <w:color w:val="231F20"/>
                <w:sz w:val="18"/>
              </w:rPr>
              <w:t>规格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2"/>
              <w:rPr>
                <w:rFonts w:ascii="方正楷体_GBK"/>
                <w:sz w:val="20"/>
              </w:rPr>
            </w:pPr>
          </w:p>
          <w:p>
            <w:pPr>
              <w:pStyle w:val="TableParagraph"/>
              <w:spacing w:line="192" w:lineRule="auto"/>
              <w:ind w:left="116" w:right="65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 w:val="restart"/>
          </w:tcPr>
          <w:p>
            <w:pPr>
              <w:pStyle w:val="TableParagraph"/>
              <w:spacing w:line="192" w:lineRule="auto" w:before="178"/>
              <w:ind w:left="105" w:right="6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总数量</w:t>
            </w:r>
          </w:p>
        </w:tc>
        <w:tc>
          <w:tcPr>
            <w:tcW w:w="361" w:type="dxa"/>
            <w:vMerge w:val="restart"/>
          </w:tcPr>
          <w:p>
            <w:pPr>
              <w:pStyle w:val="TableParagraph"/>
              <w:spacing w:line="192" w:lineRule="auto" w:before="178"/>
              <w:ind w:left="106" w:right="6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总金额</w:t>
            </w:r>
          </w:p>
        </w:tc>
        <w:tc>
          <w:tcPr>
            <w:tcW w:w="3648" w:type="dxa"/>
            <w:gridSpan w:val="5"/>
          </w:tcPr>
          <w:p>
            <w:pPr>
              <w:pStyle w:val="TableParagraph"/>
              <w:spacing w:before="179"/>
              <w:ind w:left="944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</w:t>
            </w:r>
          </w:p>
        </w:tc>
      </w:tr>
      <w:tr>
        <w:trPr>
          <w:trHeight w:val="300" w:hRule="atLeast"/>
        </w:trPr>
        <w:tc>
          <w:tcPr>
            <w:tcW w:w="22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3"/>
          </w:tcPr>
          <w:p>
            <w:pPr>
              <w:pStyle w:val="TableParagraph"/>
              <w:spacing w:before="2"/>
              <w:ind w:left="606" w:right="5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路局</w:t>
            </w:r>
          </w:p>
        </w:tc>
        <w:tc>
          <w:tcPr>
            <w:tcW w:w="1389" w:type="dxa"/>
            <w:gridSpan w:val="4"/>
          </w:tcPr>
          <w:p>
            <w:pPr>
              <w:pStyle w:val="TableParagraph"/>
              <w:spacing w:before="2"/>
              <w:ind w:left="498" w:right="4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车站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2"/>
              <w:ind w:left="566" w:right="5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专用线</w:t>
            </w:r>
          </w:p>
        </w:tc>
        <w:tc>
          <w:tcPr>
            <w:tcW w:w="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before="2"/>
              <w:ind w:left="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194" w:type="dxa"/>
            <w:gridSpan w:val="3"/>
          </w:tcPr>
          <w:p>
            <w:pPr>
              <w:pStyle w:val="TableParagraph"/>
              <w:spacing w:before="2"/>
              <w:ind w:lef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239" w:type="dxa"/>
          </w:tcPr>
          <w:p>
            <w:pPr>
              <w:pStyle w:val="TableParagraph"/>
              <w:spacing w:before="2"/>
              <w:ind w:left="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</w:tr>
      <w:tr>
        <w:trPr>
          <w:trHeight w:val="300" w:hRule="atLeast"/>
        </w:trPr>
        <w:tc>
          <w:tcPr>
            <w:tcW w:w="1188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188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2"/>
              <w:ind w:left="3016" w:right="30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    受    人</w:t>
            </w:r>
          </w:p>
        </w:tc>
        <w:tc>
          <w:tcPr>
            <w:tcW w:w="6722" w:type="dxa"/>
            <w:gridSpan w:val="14"/>
          </w:tcPr>
          <w:p>
            <w:pPr>
              <w:pStyle w:val="TableParagraph"/>
              <w:spacing w:before="2"/>
              <w:ind w:left="2909" w:right="28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    卖    人</w:t>
            </w:r>
          </w:p>
        </w:tc>
      </w:tr>
      <w:tr>
        <w:trPr>
          <w:trHeight w:val="300" w:hRule="atLeast"/>
        </w:trPr>
        <w:tc>
          <w:tcPr>
            <w:tcW w:w="1456" w:type="dxa"/>
            <w:gridSpan w:val="2"/>
          </w:tcPr>
          <w:p>
            <w:pPr>
              <w:pStyle w:val="TableParagraph"/>
              <w:spacing w:before="2"/>
              <w:ind w:left="367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1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gridSpan w:val="4"/>
          </w:tcPr>
          <w:p>
            <w:pPr>
              <w:pStyle w:val="TableParagraph"/>
              <w:spacing w:before="2"/>
              <w:ind w:left="374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gridSpan w:val="4"/>
          </w:tcPr>
          <w:p>
            <w:pPr>
              <w:pStyle w:val="TableParagraph"/>
              <w:spacing w:before="2"/>
              <w:ind w:left="361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16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gridSpan w:val="2"/>
          </w:tcPr>
          <w:p>
            <w:pPr>
              <w:pStyle w:val="TableParagraph"/>
              <w:spacing w:before="2"/>
              <w:ind w:left="456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20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456" w:type="dxa"/>
            <w:gridSpan w:val="2"/>
          </w:tcPr>
          <w:p>
            <w:pPr>
              <w:pStyle w:val="TableParagraph"/>
              <w:tabs>
                <w:tab w:pos="907" w:val="left" w:leader="none"/>
              </w:tabs>
              <w:spacing w:before="2"/>
              <w:ind w:left="367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1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gridSpan w:val="4"/>
          </w:tcPr>
          <w:p>
            <w:pPr>
              <w:pStyle w:val="TableParagraph"/>
              <w:spacing w:before="2"/>
              <w:ind w:left="374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gridSpan w:val="4"/>
          </w:tcPr>
          <w:p>
            <w:pPr>
              <w:pStyle w:val="TableParagraph"/>
              <w:tabs>
                <w:tab w:pos="901" w:val="left" w:leader="none"/>
              </w:tabs>
              <w:spacing w:before="2"/>
              <w:ind w:left="361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16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gridSpan w:val="2"/>
          </w:tcPr>
          <w:p>
            <w:pPr>
              <w:pStyle w:val="TableParagraph"/>
              <w:spacing w:before="2"/>
              <w:ind w:left="456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205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188" w:type="dxa"/>
          </w:tcPr>
          <w:p>
            <w:pPr>
              <w:pStyle w:val="TableParagraph"/>
              <w:tabs>
                <w:tab w:pos="548" w:val="left" w:leader="none"/>
              </w:tabs>
              <w:spacing w:before="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46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21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TableParagraph"/>
              <w:spacing w:before="2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gridSpan w:val="3"/>
          </w:tcPr>
          <w:p>
            <w:pPr>
              <w:pStyle w:val="TableParagraph"/>
              <w:tabs>
                <w:tab w:pos="744" w:val="left" w:leader="none"/>
              </w:tabs>
              <w:spacing w:before="2"/>
              <w:ind w:left="204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23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gridSpan w:val="2"/>
          </w:tcPr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gridSpan w:val="2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6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1. 本合同按《合同法》等有关规定执行。</w:t>
            </w:r>
          </w:p>
        </w:tc>
        <w:tc>
          <w:tcPr>
            <w:tcW w:w="6722" w:type="dxa"/>
            <w:gridSpan w:val="14"/>
          </w:tcPr>
          <w:p>
            <w:pPr>
              <w:pStyle w:val="TableParagraph"/>
              <w:spacing w:before="46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8. 如需提供担保，另立合同担保书，作为合同附件。</w:t>
            </w: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2. 运输方式：</w:t>
            </w:r>
          </w:p>
        </w:tc>
        <w:tc>
          <w:tcPr>
            <w:tcW w:w="6722" w:type="dxa"/>
            <w:gridSpan w:val="14"/>
          </w:tcPr>
          <w:p>
            <w:pPr>
              <w:pStyle w:val="TableParagraph"/>
              <w:spacing w:before="46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9. 违约责任：</w:t>
            </w: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3. 结算方式：</w:t>
            </w:r>
          </w:p>
        </w:tc>
        <w:tc>
          <w:tcPr>
            <w:tcW w:w="6722" w:type="dxa"/>
            <w:gridSpan w:val="14"/>
            <w:vMerge w:val="restart"/>
          </w:tcPr>
          <w:p>
            <w:pPr>
              <w:pStyle w:val="TableParagraph"/>
              <w:tabs>
                <w:tab w:pos="2375" w:val="left" w:leader="none"/>
              </w:tabs>
              <w:spacing w:line="230" w:lineRule="auto" w:before="80"/>
              <w:ind w:left="35" w:right="-15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合同争议的解决方</w:t>
            </w:r>
            <w:r>
              <w:rPr>
                <w:color w:val="231F20"/>
                <w:spacing w:val="-5"/>
                <w:sz w:val="18"/>
              </w:rPr>
              <w:t>式：</w:t>
            </w:r>
            <w:r>
              <w:rPr>
                <w:color w:val="231F20"/>
                <w:sz w:val="18"/>
              </w:rPr>
              <w:t>本合同在履行过程中发生的争</w:t>
            </w:r>
            <w:r>
              <w:rPr>
                <w:color w:val="231F20"/>
                <w:spacing w:val="40"/>
                <w:sz w:val="18"/>
              </w:rPr>
              <w:t>议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由双方当事人协商解</w:t>
            </w:r>
            <w:r>
              <w:rPr>
                <w:color w:val="231F20"/>
                <w:spacing w:val="-5"/>
                <w:sz w:val="18"/>
              </w:rPr>
              <w:t>决</w:t>
            </w:r>
            <w:r>
              <w:rPr>
                <w:color w:val="231F20"/>
                <w:sz w:val="18"/>
              </w:rPr>
              <w:t>； 协商不成的，按下列第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种方式解决：</w:t>
            </w:r>
          </w:p>
          <w:p>
            <w:pPr>
              <w:pStyle w:val="TableParagraph"/>
              <w:tabs>
                <w:tab w:pos="1655" w:val="left" w:leader="none"/>
                <w:tab w:pos="2195" w:val="left" w:leader="none"/>
              </w:tabs>
              <w:spacing w:line="255" w:lineRule="exact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ab/>
              <w:t>仲裁委员会仲裁；</w:t>
            </w:r>
          </w:p>
          <w:p>
            <w:pPr>
              <w:pStyle w:val="TableParagraph"/>
              <w:spacing w:line="265" w:lineRule="exact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（二）依法向人民法院起诉。</w:t>
            </w: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4. 交（提）货地点、方式：</w:t>
            </w:r>
          </w:p>
        </w:tc>
        <w:tc>
          <w:tcPr>
            <w:tcW w:w="6722" w:type="dxa"/>
            <w:gridSpan w:val="1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5. 包装标准 , 包装物的供应与回收 :</w:t>
            </w:r>
          </w:p>
        </w:tc>
        <w:tc>
          <w:tcPr>
            <w:tcW w:w="6722" w:type="dxa"/>
            <w:gridSpan w:val="1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6. 验收意见 :</w:t>
            </w:r>
          </w:p>
        </w:tc>
        <w:tc>
          <w:tcPr>
            <w:tcW w:w="6722" w:type="dxa"/>
            <w:gridSpan w:val="14"/>
          </w:tcPr>
          <w:p>
            <w:pPr>
              <w:pStyle w:val="TableParagraph"/>
              <w:spacing w:before="46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11. 其他约定事项：</w:t>
            </w:r>
          </w:p>
        </w:tc>
      </w:tr>
      <w:tr>
        <w:trPr>
          <w:trHeight w:val="400" w:hRule="atLeast"/>
        </w:trPr>
        <w:tc>
          <w:tcPr>
            <w:tcW w:w="6961" w:type="dxa"/>
            <w:gridSpan w:val="12"/>
          </w:tcPr>
          <w:p>
            <w:pPr>
              <w:pStyle w:val="TableParagraph"/>
              <w:spacing w:before="46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7. 检验标准、地点、期限及费用负担：</w:t>
            </w:r>
          </w:p>
        </w:tc>
        <w:tc>
          <w:tcPr>
            <w:tcW w:w="6722" w:type="dxa"/>
            <w:gridSpan w:val="14"/>
          </w:tcPr>
          <w:p>
            <w:pPr>
              <w:pStyle w:val="TableParagraph"/>
              <w:spacing w:before="46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</w:tbl>
    <w:p>
      <w:pPr>
        <w:pStyle w:val="BodyText"/>
        <w:spacing w:before="12"/>
        <w:rPr>
          <w:rFonts w:ascii="方正楷体_GBK"/>
          <w:sz w:val="6"/>
        </w:rPr>
      </w:pPr>
    </w:p>
    <w:p>
      <w:pPr>
        <w:pStyle w:val="BodyText"/>
        <w:tabs>
          <w:tab w:pos="1877" w:val="left" w:leader="none"/>
          <w:tab w:pos="7451" w:val="left" w:leader="none"/>
          <w:tab w:pos="9746" w:val="left" w:leader="none"/>
        </w:tabs>
        <w:spacing w:line="265" w:lineRule="exact" w:before="37"/>
        <w:ind w:left="122"/>
      </w:pPr>
      <w:r>
        <w:rPr>
          <w:color w:val="231F20"/>
        </w:rPr>
        <w:t>买受人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</w:t>
        <w:tab/>
        <w:t>出卖人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</w:t>
      </w:r>
    </w:p>
    <w:p>
      <w:pPr>
        <w:pStyle w:val="BodyText"/>
        <w:tabs>
          <w:tab w:pos="3499" w:val="left" w:leader="none"/>
          <w:tab w:pos="4039" w:val="left" w:leader="none"/>
          <w:tab w:pos="10720" w:val="left" w:leader="none"/>
          <w:tab w:pos="11260" w:val="left" w:leader="none"/>
          <w:tab w:pos="11800" w:val="left" w:leader="none"/>
        </w:tabs>
        <w:spacing w:line="265" w:lineRule="exact"/>
        <w:ind w:left="2959"/>
      </w:pPr>
      <w:r>
        <w:rPr>
          <w:color w:val="231F20"/>
        </w:rPr>
        <w:t>年</w:t>
        <w:tab/>
        <w:t>月</w:t>
        <w:tab/>
        <w:t>日</w:t>
        <w:tab/>
        <w:t>年</w:t>
        <w:tab/>
        <w:t>月</w:t>
        <w:tab/>
        <w:t>日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